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D5D1" w14:textId="611F415D"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eastAsia="Times New Roman" w:hAnsi="Times New Roman" w:cs="Times New Roman"/>
          <w:b/>
          <w:bCs/>
          <w:sz w:val="26"/>
          <w:szCs w:val="26"/>
          <w:lang w:val="fr-FR"/>
        </w:rPr>
      </w:pPr>
      <w:r>
        <w:rPr>
          <w:rFonts w:ascii="Times New Roman" w:hAnsi="Times New Roman" w:cs="Times New Roman"/>
          <w:b/>
          <w:bCs/>
          <w:sz w:val="26"/>
          <w:szCs w:val="26"/>
          <w:lang w:val="fr-FR"/>
        </w:rPr>
        <w:t xml:space="preserve">NOTIFICATION DES DROITS ET OBLIGATIONS </w:t>
      </w:r>
    </w:p>
    <w:p w14:paraId="5A65978E" w14:textId="77777777"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fr-FR"/>
        </w:rPr>
      </w:pPr>
    </w:p>
    <w:p w14:paraId="0673FA42" w14:textId="77777777"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fr-FR"/>
        </w:rPr>
      </w:pPr>
    </w:p>
    <w:p w14:paraId="2A545706" w14:textId="77777777"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lang w:val="fr-FR"/>
        </w:rPr>
      </w:pPr>
      <w:r>
        <w:rPr>
          <w:rFonts w:ascii="Times New Roman" w:hAnsi="Times New Roman" w:cs="Times New Roman"/>
          <w:b/>
          <w:bCs/>
          <w:sz w:val="20"/>
          <w:szCs w:val="20"/>
          <w:lang w:val="fr-FR"/>
        </w:rPr>
        <w:t>Tout prévenu/accusé a les droits et obligations suivants :</w:t>
      </w:r>
    </w:p>
    <w:p w14:paraId="009B38A1" w14:textId="77777777" w:rsidR="006C1DF8" w:rsidRPr="00EC5404" w:rsidRDefault="006C1DF8"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sz w:val="20"/>
          <w:szCs w:val="20"/>
          <w:lang w:val="fr-FR"/>
        </w:rPr>
        <w:t>Le droit d'être entendu, de refuser de témoigner ou de répondre à des questions précises, sans avoir à motiver son refus (article 175, paragraphe 1))</w:t>
      </w:r>
      <w:r>
        <w:rPr>
          <w:rFonts w:ascii="Times New Roman" w:hAnsi="Times New Roman" w:cs="Times New Roman"/>
          <w:sz w:val="16"/>
          <w:szCs w:val="16"/>
          <w:lang w:val="fr-FR"/>
        </w:rPr>
        <w:t>2)</w:t>
      </w:r>
      <w:r>
        <w:rPr>
          <w:rFonts w:ascii="Times New Roman" w:hAnsi="Times New Roman" w:cs="Times New Roman"/>
          <w:sz w:val="20"/>
          <w:szCs w:val="20"/>
          <w:lang w:val="fr-FR"/>
        </w:rPr>
        <w:t xml:space="preserve">. </w:t>
      </w:r>
    </w:p>
    <w:p w14:paraId="5DD83BD9"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 xml:space="preserve">Le droit de </w:t>
      </w:r>
      <w:r>
        <w:rPr>
          <w:rFonts w:ascii="Times New Roman" w:hAnsi="Times New Roman" w:cs="Times New Roman"/>
          <w:sz w:val="20"/>
          <w:szCs w:val="20"/>
          <w:lang w:val="fr-FR"/>
        </w:rPr>
        <w:t xml:space="preserve">se faire assister par un avocat de son choix. Si l'accusé démontre qu'il n'est pas en mesure de supporter les frais de désignation d'un avocat de son choix sans compromettre sa subsistance et à celle de sa famille, le tribunal peut désigner un avocat d’office. </w:t>
      </w:r>
      <w:r>
        <w:rPr>
          <w:rFonts w:ascii="Times New Roman" w:hAnsi="Times New Roman" w:cs="Times New Roman"/>
          <w:color w:val="000000"/>
          <w:sz w:val="20"/>
          <w:szCs w:val="20"/>
          <w:lang w:val="fr-FR"/>
        </w:rPr>
        <w:t xml:space="preserve">La demande de désignation d'un avocat commis d'office doit être déposée auprès du tribunal dans un délai de sept jours à compter de la date de signification de la copie de l'acte d'accusation. La demande doit être accompagnée de preuves démontrant que l'accusé n'est pas en mesure de supporter les frais de sa défense sans préjudice de son soutien nécessaire et de celui de sa famille. Si le dépôt d’une demande hors délai entraînait la nécessité de modifier la date de l’audience ou de la séance concernant le classement sous condition de la procédure et la demande de condamnation sans audience, la demande sera examinée immédiatement après la date de l’audience ou de la séance. Il en est de même si la demande est faite en temps utile, mais ne répond pas aux exigences formelles ou n'est pas accompagnée de preuves démontrant  démontrant que l’accusé n’est pas en mesure de supporter les frais de défense sans porter atteinte à sa subsistance et à celle de sa famille. Avant la première date du procès ou de l’audience indiquées, la demande de désignation d’un avocat d’office doit être présentée auprès du tribunal dans un délai tel que son examen n’entraîne pas la nécessité de reporter l’audience ou la séance. En fonction de l'issue du procès, l'accusé peut être condamné à payer les frais de désignation d'un avocat commis d'office. </w:t>
      </w:r>
      <w:r>
        <w:rPr>
          <w:rFonts w:ascii="Times New Roman" w:hAnsi="Times New Roman" w:cs="Times New Roman"/>
          <w:sz w:val="20"/>
          <w:szCs w:val="20"/>
          <w:lang w:val="fr-FR"/>
        </w:rPr>
        <w:t xml:space="preserve">Un accusé qui n’a pas d’avocat de son choix, se verra obligatoirement assisté d'un avocat s'il </w:t>
      </w:r>
      <w:r>
        <w:rPr>
          <w:rFonts w:ascii="Times New Roman" w:hAnsi="Times New Roman" w:cs="Times New Roman"/>
          <w:color w:val="000000"/>
          <w:sz w:val="20"/>
          <w:szCs w:val="20"/>
          <w:lang w:val="fr-FR"/>
        </w:rPr>
        <w:t>est âgé de moins de 18 ans</w:t>
      </w:r>
      <w:r>
        <w:rPr>
          <w:rFonts w:ascii="Times New Roman" w:hAnsi="Times New Roman" w:cs="Times New Roman"/>
          <w:sz w:val="20"/>
          <w:szCs w:val="20"/>
          <w:lang w:val="fr-FR"/>
        </w:rPr>
        <w:t xml:space="preserve">, s'il est sourd, muet ou aveugle, </w:t>
      </w:r>
      <w:r>
        <w:rPr>
          <w:rFonts w:ascii="Times New Roman" w:hAnsi="Times New Roman" w:cs="Times New Roman"/>
          <w:color w:val="000000"/>
          <w:sz w:val="20"/>
          <w:szCs w:val="20"/>
          <w:lang w:val="fr-FR"/>
        </w:rPr>
        <w:t>s'il existe un doute fondé quant à savoir si sa capacité à reconnaître la signification de l’acte ou à contrôler sa conduite n'était pas déficiente ou sensiblement altérée au moment où l'acte a été commis,</w:t>
      </w:r>
      <w:r>
        <w:rPr>
          <w:rFonts w:ascii="Times New Roman" w:hAnsi="Times New Roman" w:cs="Times New Roman"/>
          <w:sz w:val="20"/>
          <w:szCs w:val="20"/>
          <w:lang w:val="fr-FR"/>
        </w:rPr>
        <w:t xml:space="preserve"> </w:t>
      </w:r>
      <w:r>
        <w:rPr>
          <w:rFonts w:ascii="Times New Roman" w:hAnsi="Times New Roman" w:cs="Times New Roman"/>
          <w:color w:val="000000"/>
          <w:sz w:val="20"/>
          <w:szCs w:val="20"/>
          <w:lang w:val="fr-FR"/>
        </w:rPr>
        <w:t xml:space="preserve">s’il existe un doute raisonnable quant au fait que son état de santé mentale lui permet de participer à la procédure ou de se défendre de manière indépendante et raisonnable; </w:t>
      </w:r>
      <w:r>
        <w:rPr>
          <w:rFonts w:ascii="Times New Roman" w:hAnsi="Times New Roman" w:cs="Times New Roman"/>
          <w:sz w:val="20"/>
          <w:szCs w:val="20"/>
          <w:lang w:val="fr-FR"/>
        </w:rPr>
        <w:t>L'accusé doit être assisté d'un avocat également lorsque le tribunal le juge nécessaire en raison d'</w:t>
      </w:r>
      <w:r>
        <w:rPr>
          <w:rFonts w:ascii="Times New Roman" w:hAnsi="Times New Roman" w:cs="Times New Roman"/>
          <w:color w:val="000000"/>
          <w:sz w:val="20"/>
          <w:szCs w:val="20"/>
          <w:lang w:val="fr-FR"/>
        </w:rPr>
        <w:t>autres</w:t>
      </w:r>
      <w:r>
        <w:rPr>
          <w:rFonts w:ascii="Times New Roman" w:hAnsi="Times New Roman" w:cs="Times New Roman"/>
          <w:sz w:val="20"/>
          <w:szCs w:val="20"/>
          <w:lang w:val="fr-FR"/>
        </w:rPr>
        <w:t xml:space="preserve"> circonstances faisant obstacle à la défense, ainsi que </w:t>
      </w:r>
      <w:r>
        <w:rPr>
          <w:rFonts w:ascii="Times New Roman" w:hAnsi="Times New Roman" w:cs="Times New Roman"/>
          <w:color w:val="000000"/>
          <w:sz w:val="20"/>
          <w:szCs w:val="20"/>
          <w:lang w:val="fr-FR"/>
        </w:rPr>
        <w:t>dans le cadre d'une procédure devant le tribunal régional, si un crime lui est reproché (</w:t>
      </w:r>
      <w:r>
        <w:rPr>
          <w:rFonts w:ascii="Times New Roman" w:hAnsi="Times New Roman" w:cs="Times New Roman"/>
          <w:sz w:val="20"/>
          <w:szCs w:val="20"/>
          <w:lang w:val="fr-FR"/>
        </w:rPr>
        <w:t>article 6, article 78 paragraphe 1, article 79, paragraphes 1 et 2, article 80 première phrase,</w:t>
      </w:r>
      <w:r>
        <w:rPr>
          <w:rFonts w:ascii="Times New Roman" w:hAnsi="Times New Roman" w:cs="Times New Roman"/>
          <w:color w:val="000000"/>
          <w:sz w:val="20"/>
          <w:szCs w:val="20"/>
          <w:lang w:val="fr-FR"/>
        </w:rPr>
        <w:t xml:space="preserve"> article 81, paragraphe 1,</w:t>
      </w:r>
      <w:r>
        <w:rPr>
          <w:rFonts w:ascii="Times New Roman" w:hAnsi="Times New Roman" w:cs="Times New Roman"/>
          <w:sz w:val="20"/>
          <w:szCs w:val="20"/>
          <w:lang w:val="fr-FR"/>
        </w:rPr>
        <w:t xml:space="preserve"> </w:t>
      </w:r>
      <w:r>
        <w:rPr>
          <w:rFonts w:ascii="Times New Roman" w:hAnsi="Times New Roman" w:cs="Times New Roman"/>
          <w:color w:val="000000"/>
          <w:sz w:val="20"/>
          <w:szCs w:val="20"/>
          <w:lang w:val="fr-FR"/>
        </w:rPr>
        <w:t>article 338, paragraphe 1a, article 338b</w:t>
      </w:r>
      <w:r>
        <w:rPr>
          <w:rFonts w:ascii="Times New Roman" w:hAnsi="Times New Roman" w:cs="Times New Roman"/>
          <w:sz w:val="20"/>
          <w:szCs w:val="20"/>
          <w:lang w:val="fr-FR"/>
        </w:rPr>
        <w:t>)</w:t>
      </w:r>
      <w:r>
        <w:rPr>
          <w:rFonts w:ascii="Times New Roman" w:hAnsi="Times New Roman" w:cs="Times New Roman"/>
          <w:color w:val="000000"/>
          <w:sz w:val="20"/>
          <w:szCs w:val="20"/>
          <w:lang w:val="fr-FR"/>
        </w:rPr>
        <w:t xml:space="preserve">. </w:t>
      </w:r>
    </w:p>
    <w:p w14:paraId="4B7CD8FC" w14:textId="77777777" w:rsidR="006C1DF8" w:rsidRPr="00EC5404"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fr-FR"/>
        </w:rPr>
      </w:pPr>
      <w:r>
        <w:rPr>
          <w:rFonts w:ascii="Times New Roman" w:hAnsi="Times New Roman" w:cs="Times New Roman"/>
          <w:sz w:val="20"/>
          <w:szCs w:val="20"/>
          <w:lang w:val="fr-FR"/>
        </w:rPr>
        <w:t>Le droit de présenter une réponse écrite à l'acte d'accusation. L'accusé dispose de ce droit dans un délai de sept jours suivant la signification de l'acte d'accusation  (article 338, paragraphe 2).</w:t>
      </w:r>
    </w:p>
    <w:p w14:paraId="0F9D2918"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Le droit d'assister à une audience de classement sous condition si l'accusé n'a pas été obligé d'y assister (article 341, paragraphe 1).</w:t>
      </w:r>
    </w:p>
    <w:p w14:paraId="1B3E46A0"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Le droit de demander que l'accusé soit amené à l'audience si celui-ci est en détention et que sa présence à l'audience n'est pas obligatoire. La demande doit être faite dans les sept jours suivant la date de notification de l'avis (article 353, paragraphe 3).</w:t>
      </w:r>
    </w:p>
    <w:p w14:paraId="3F2837D9"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Le droit de demander le prononcé d'une condamnation et l'imposition d'une peine ou d'une mesure pénale déterminée, la prononciation d'une confiscation ou d'une mesure de compensation sans qu'il soit nécessaire de mener une procédure d'instruction ou de statuer sur la prise en charge des frais de procédure. L'accusé peut exercer ce droit avant la notification de la date de l’audience (article 338a).</w:t>
      </w:r>
    </w:p>
    <w:p w14:paraId="04F363DD" w14:textId="77777777" w:rsidR="006C1DF8" w:rsidRPr="00EC5404"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sz w:val="20"/>
          <w:szCs w:val="20"/>
          <w:lang w:val="fr-FR"/>
        </w:rPr>
        <w:t>Le droit d'assister à l’audience si le tribunal ne considère pas la présence de l'accusé comme obligatoire.</w:t>
      </w:r>
      <w:r>
        <w:rPr>
          <w:rFonts w:ascii="Times New Roman" w:hAnsi="Times New Roman" w:cs="Times New Roman"/>
          <w:color w:val="000000"/>
          <w:sz w:val="20"/>
          <w:szCs w:val="20"/>
          <w:lang w:val="fr-FR"/>
        </w:rPr>
        <w:t xml:space="preserve"> Dans les affaires criminelles, la présence de l'accusé est obligatoire lors de la présentation de l'acte d'accusation, de la réponse à l'acte d'accusation, le cas échéant, de l'instruction sur les droits et les devoirs, et de l'enquête visant à déterminer si l'accusé reconnaît les faits qui lui sont reprochés. </w:t>
      </w:r>
      <w:r>
        <w:rPr>
          <w:lang w:val="fr-FR"/>
        </w:rPr>
        <w:t xml:space="preserve"> </w:t>
      </w:r>
      <w:r>
        <w:rPr>
          <w:rFonts w:ascii="Times New Roman" w:hAnsi="Times New Roman" w:cs="Times New Roman"/>
          <w:sz w:val="20"/>
          <w:szCs w:val="20"/>
          <w:lang w:val="fr-FR"/>
        </w:rPr>
        <w:t>Le président peut rendre une ordonnance afin d'empêcher l'accusé de quitter le tribunal avant la fin de l'audience.</w:t>
      </w:r>
      <w:r>
        <w:rPr>
          <w:rFonts w:ascii="Times New Roman" w:hAnsi="Times New Roman" w:cs="Times New Roman"/>
          <w:color w:val="000000"/>
          <w:sz w:val="20"/>
          <w:szCs w:val="20"/>
          <w:lang w:val="fr-FR"/>
        </w:rPr>
        <w:t xml:space="preserve"> (article 374).</w:t>
      </w:r>
      <w:r>
        <w:rPr>
          <w:rFonts w:ascii="Times New Roman" w:hAnsi="Times New Roman" w:cs="Times New Roman"/>
          <w:sz w:val="20"/>
          <w:szCs w:val="20"/>
          <w:lang w:val="fr-FR"/>
        </w:rPr>
        <w:t xml:space="preserve"> </w:t>
      </w:r>
      <w:r>
        <w:rPr>
          <w:rFonts w:ascii="Times New Roman" w:hAnsi="Times New Roman" w:cs="Times New Roman"/>
          <w:color w:val="000000"/>
          <w:sz w:val="20"/>
          <w:szCs w:val="20"/>
          <w:lang w:val="fr-FR"/>
        </w:rPr>
        <w:t xml:space="preserve">L'audience n'a pas lieu si l'accusé ne comparaît pas et s'il n'y a pas de preuve qu'il en a été notifié, et s'il existe une présomption fondée que la non-comparution résulte de causes de force majeure ou d’autres motifs exceptionnels L'audience peut également ne pas avoir lieu si l'accusé justifie valablement son absence et demande que les actes ne soient pas accomplis en son absence (article 117, paragraphe 2). L'excuse de la non-comparution pour cause de maladie d'un accusé dont la présence était obligatoire ou qui a demandé à être admis à l’audience, étant habilité à y participer, nécessite la présentation d'un certificat confirmant l'incapacité à se rendre à la convocation de l'organe chargé de la procédure, délivré par un médecin du tribunal. </w:t>
      </w:r>
      <w:r>
        <w:rPr>
          <w:rFonts w:ascii="Times New Roman" w:hAnsi="Times New Roman" w:cs="Times New Roman"/>
          <w:sz w:val="20"/>
          <w:szCs w:val="20"/>
          <w:lang w:val="fr-FR"/>
        </w:rPr>
        <w:t>(article 117 paragraphe 2a).</w:t>
      </w:r>
      <w:r>
        <w:rPr>
          <w:rFonts w:ascii="Times New Roman" w:hAnsi="Times New Roman" w:cs="Times New Roman"/>
          <w:color w:val="000000"/>
          <w:sz w:val="20"/>
          <w:szCs w:val="20"/>
          <w:lang w:val="fr-FR"/>
        </w:rPr>
        <w:t xml:space="preserve"> En cas d'absence injustifiée de l'accusé, dont la présence est obligatoire, sa détention immédiate et sa comparution forcée seront ordonnées (article 382). La non-comparution de l'accusé,  qui a été dûment informé de l'acte de procédure, quelle qu'en soit la raison, ne fait pas obstacle à la tenue de cet acte si son avocat s'est présenté, pour autant que la présence de l'accusé n'était pas obligatoire (article 117, paragraphe 3a).</w:t>
      </w:r>
    </w:p>
    <w:p w14:paraId="084ADB92"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Le droit à l'assistance gratuite d'un interprète si celui-ci ne maîtrise pas suffisamment la langue polonaise (article 72, paragraphe 1).</w:t>
      </w:r>
    </w:p>
    <w:p w14:paraId="3AD6320D" w14:textId="77777777" w:rsidR="006C1DF8" w:rsidRPr="00EC5404"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fr-FR"/>
        </w:rPr>
      </w:pPr>
      <w:r>
        <w:rPr>
          <w:rFonts w:ascii="Times New Roman" w:hAnsi="Times New Roman" w:cs="Times New Roman"/>
          <w:color w:val="000000"/>
          <w:sz w:val="20"/>
          <w:szCs w:val="20"/>
          <w:lang w:val="fr-FR"/>
        </w:rPr>
        <w:t xml:space="preserve">Le droit de demander le prononcé d'une condamnation et l'imposition d'une peine ou d'une mesure pénale déterminée, la prononciation d'une confiscation ou d'une mesure de compensation sans qu'il soit nécessaire de mener une procédure d'instruction ou de statuer sur la prise en charge des frais de procédure. Le tribunal peut faire droit à une demande de condamnation lorsque les circonstances de l'infraction et la culpabilité ne suscitent aucun </w:t>
      </w:r>
      <w:r>
        <w:rPr>
          <w:rFonts w:ascii="Times New Roman" w:hAnsi="Times New Roman" w:cs="Times New Roman"/>
          <w:color w:val="000000"/>
          <w:sz w:val="20"/>
          <w:szCs w:val="20"/>
          <w:lang w:val="fr-FR"/>
        </w:rPr>
        <w:lastRenderedPageBreak/>
        <w:t>doute et que les objectifs de la procédure seront atteints même si l'audience n'est pas menée dans son intégralité ; il ne peut faire droit à la demande que si le procureur ne s'y oppose pas et si la victime est dûment informée de la date de l’audience et avertie de la possibilité pour l'accusé de présenter une telle demande. Le tribunal peut subordonner l'acceptation de la demande de l'accusé à l'apport d'une modification qu'il aura lui-même indiquée. Dans les affaires de crime, la clémence extraordinaire ne peut être accordée que si la demande a été déposée avant la notification à l'accusé de la date de l'audience. Une demande de condamnation et d'imposition d'une peine à prononcer une peine ou une mesure pénale déterminée, à ordonner la confiscation ou une mesure de compensation sans audience probatoire, ou à rendre une décision spécifique concernant la prise en charge des frais de procédure peut être déposée jusqu'à la fin de la première audience de tous les accusés (article 387, paragraphe 1, première et deuxième phrases, paragraphes 2 et 3).</w:t>
      </w:r>
    </w:p>
    <w:p w14:paraId="464AF789" w14:textId="77777777" w:rsidR="006C1DF8" w:rsidRPr="00EC5404"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fr-FR"/>
        </w:rPr>
      </w:pPr>
      <w:r>
        <w:rPr>
          <w:rFonts w:ascii="Times New Roman" w:hAnsi="Times New Roman" w:cs="Times New Roman"/>
          <w:color w:val="000000"/>
          <w:sz w:val="20"/>
          <w:szCs w:val="20"/>
          <w:lang w:val="fr-FR"/>
        </w:rPr>
        <w:t>Le droit de demander que l'affaire soit soumise à une procédure de médiation en vue d'un règlement à l'amiable avec la victime (article 23a). La participation à la procédure de médiation est volontaire. Les résultats positifs de la médiation menée sont pris en compte par le tribunal lors de la détermination de la peine (article 53, paragraphe 3, de la loi du 6 juin 1997, Code pénal, Journal officiel de 2018, n° 1600, tel que modifié).</w:t>
      </w:r>
    </w:p>
    <w:p w14:paraId="4507224E" w14:textId="77777777" w:rsidR="006C1DF8" w:rsidRPr="00EC5404"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Le droit d'accès au dossier, ainsi que le droit de dresser des copies certifiées conformes et des copies (article 156, paragraphes 1 à 3).</w:t>
      </w:r>
    </w:p>
    <w:p w14:paraId="3DBBD484" w14:textId="10542B4C" w:rsidR="006C1DF8" w:rsidRPr="00EC5404" w:rsidRDefault="006C1DF8"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fr-FR"/>
        </w:rPr>
      </w:pPr>
      <w:r>
        <w:rPr>
          <w:rFonts w:ascii="Times New Roman" w:hAnsi="Times New Roman" w:cs="Times New Roman"/>
          <w:sz w:val="20"/>
          <w:szCs w:val="20"/>
          <w:lang w:val="fr-FR"/>
        </w:rPr>
        <w:t xml:space="preserve">Le droit, dans un délai de sept jours à compter de la date du </w:t>
      </w:r>
      <w:r>
        <w:rPr>
          <w:rFonts w:ascii="Times New Roman" w:hAnsi="Times New Roman" w:cs="Times New Roman"/>
          <w:color w:val="000000"/>
          <w:sz w:val="20"/>
          <w:szCs w:val="20"/>
          <w:lang w:val="fr-FR"/>
        </w:rPr>
        <w:t>prononcé du jugement, de demander</w:t>
      </w:r>
      <w:r>
        <w:rPr>
          <w:rFonts w:ascii="Times New Roman" w:hAnsi="Times New Roman" w:cs="Times New Roman"/>
          <w:sz w:val="20"/>
          <w:szCs w:val="20"/>
          <w:lang w:val="fr-FR"/>
        </w:rPr>
        <w:t xml:space="preserve"> que le motif du jugement soit préparé par écrit et signifié. </w:t>
      </w:r>
      <w:r>
        <w:rPr>
          <w:rFonts w:ascii="Times New Roman" w:hAnsi="Times New Roman" w:cs="Times New Roman"/>
          <w:color w:val="000000"/>
          <w:sz w:val="20"/>
          <w:szCs w:val="20"/>
          <w:lang w:val="fr-FR"/>
        </w:rPr>
        <w:t xml:space="preserve">Le fait que le motif soit rédigé d'office ne dispense pas de demander la signification des motifs. </w:t>
      </w:r>
      <w:r>
        <w:rPr>
          <w:rFonts w:ascii="Times New Roman" w:hAnsi="Times New Roman" w:cs="Times New Roman"/>
          <w:sz w:val="20"/>
          <w:szCs w:val="20"/>
          <w:lang w:val="fr-FR"/>
        </w:rPr>
        <w:t xml:space="preserve">La demande est formulée par écrit. La demande doit indiquer si celle-ci porte sur l'intégralité du jugement, sur certains des faits reprochés à l'accusé, ou uniquement sur la décision relative à la peine et aux autres conséquences juridiques de l’acte commis. </w:t>
      </w:r>
      <w:r>
        <w:rPr>
          <w:rFonts w:ascii="Times New Roman" w:hAnsi="Times New Roman" w:cs="Times New Roman"/>
          <w:color w:val="000000"/>
          <w:sz w:val="20"/>
          <w:szCs w:val="20"/>
          <w:lang w:val="fr-FR"/>
        </w:rPr>
        <w:t xml:space="preserve">Un accusé en détention provisoire qui n'a pas d'avocat et qui, n'ayant pas demandé à être amené à l'audience au cours de laquelle le jugement a été prononcé, n'était pas présent lors du prononcé du jugement, le délai pour introduire une demande visant à obtenir </w:t>
      </w:r>
      <w:r>
        <w:rPr>
          <w:rFonts w:ascii="Times New Roman" w:hAnsi="Times New Roman" w:cs="Times New Roman"/>
          <w:sz w:val="20"/>
          <w:szCs w:val="20"/>
          <w:lang w:val="fr-FR"/>
        </w:rPr>
        <w:t>la rédaction et la notification par écrit des motifs du jugement</w:t>
      </w:r>
      <w:r>
        <w:rPr>
          <w:rFonts w:ascii="Times New Roman" w:hAnsi="Times New Roman" w:cs="Times New Roman"/>
          <w:color w:val="000000"/>
          <w:sz w:val="20"/>
          <w:szCs w:val="20"/>
          <w:lang w:val="fr-FR"/>
        </w:rPr>
        <w:t xml:space="preserve"> court à compter de la date à laquelle le jugement lui a été signifié. Demande déposée par une personne non habilitée, hors délai ou avec des irrégularités non corrigées à temps</w:t>
      </w:r>
      <w:r>
        <w:rPr>
          <w:rFonts w:ascii="Times New Roman" w:hAnsi="Times New Roman" w:cs="Times New Roman"/>
          <w:sz w:val="20"/>
          <w:szCs w:val="20"/>
          <w:lang w:val="fr-FR"/>
        </w:rPr>
        <w:t xml:space="preserve"> </w:t>
      </w:r>
      <w:r>
        <w:rPr>
          <w:rFonts w:ascii="Times New Roman" w:hAnsi="Times New Roman" w:cs="Times New Roman"/>
          <w:color w:val="000000"/>
          <w:sz w:val="20"/>
          <w:szCs w:val="20"/>
          <w:lang w:val="fr-FR"/>
        </w:rPr>
        <w:t>(</w:t>
      </w:r>
      <w:r>
        <w:rPr>
          <w:rFonts w:ascii="Times New Roman" w:hAnsi="Times New Roman" w:cs="Times New Roman"/>
          <w:sz w:val="20"/>
          <w:szCs w:val="20"/>
          <w:lang w:val="fr-FR"/>
        </w:rPr>
        <w:t>article  422, paragraphes 1 à 3).</w:t>
      </w:r>
      <w:r>
        <w:rPr>
          <w:rFonts w:ascii="Times New Roman" w:hAnsi="Times New Roman" w:cs="Times New Roman"/>
          <w:i/>
          <w:iCs/>
          <w:sz w:val="20"/>
          <w:szCs w:val="20"/>
          <w:lang w:val="fr-FR"/>
        </w:rPr>
        <w:t xml:space="preserve"> </w:t>
      </w:r>
    </w:p>
    <w:p w14:paraId="1CE67A0F" w14:textId="77777777" w:rsidR="006C1DF8" w:rsidRPr="00EC5404" w:rsidRDefault="006C1DF8"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fr-FR"/>
        </w:rPr>
      </w:pPr>
      <w:r>
        <w:rPr>
          <w:rFonts w:ascii="Times New Roman" w:hAnsi="Times New Roman" w:cs="Times New Roman"/>
          <w:b/>
          <w:bCs/>
          <w:color w:val="000000"/>
          <w:sz w:val="20"/>
          <w:szCs w:val="20"/>
          <w:lang w:val="fr-FR"/>
        </w:rPr>
        <w:t>La procédure pénale peut se dérouler en l'absence de l'accusé, dont la présence est obligatoire lorsque celui-ci :</w:t>
      </w:r>
    </w:p>
    <w:p w14:paraId="50E55E1A" w14:textId="77777777" w:rsidR="006C1DF8" w:rsidRPr="00EC5404"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 xml:space="preserve">est, par sa propre faute, dans l'incapacité de participer au procès ou à l’audience ; le fait qu’il n'ait pas fait sa déposition ne constitue pas un obstacle à la procédure ; </w:t>
      </w:r>
      <w:r>
        <w:rPr>
          <w:rFonts w:ascii="Times New Roman" w:hAnsi="Times New Roman" w:cs="Times New Roman"/>
          <w:sz w:val="20"/>
          <w:szCs w:val="20"/>
          <w:lang w:val="fr-FR"/>
        </w:rPr>
        <w:t>avant de rendre une ordonnance à cet effet, le tribunal prend connaissance du certificat médical attestant de cet état d'incapacité ou entend le médecin en qualité d'expert. L'état rendant l'accusé incapable d’assister à l’audience peut également être établi au moyen d'un examen n'impliquant pas d'atteinte à l’intégrité physique, réalisé à l'aide d'un dispositif approprié</w:t>
      </w:r>
      <w:r>
        <w:rPr>
          <w:rFonts w:ascii="Times New Roman" w:hAnsi="Times New Roman" w:cs="Times New Roman"/>
          <w:color w:val="000000"/>
          <w:sz w:val="20"/>
          <w:szCs w:val="20"/>
          <w:lang w:val="fr-FR"/>
        </w:rPr>
        <w:t xml:space="preserve"> (article 377, paragraphes 1 et 2) ; </w:t>
      </w:r>
    </w:p>
    <w:p w14:paraId="0A57DE52" w14:textId="77777777" w:rsidR="006C1DF8" w:rsidRPr="00EC5404"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dûment avisé de la date du procès ou de l'audience, déclare qu'il n'y assistera pas, empêche sa comparution au procès ou à l’audience, ou, ayant été informé en personne, ne se présente pas au procès ou à l’audience sans justification ; le tribunal peut toutefois ordonner dans ce cas la détention et la comparution forcée de l’accusé (art. 377, paragraphe 3).</w:t>
      </w:r>
    </w:p>
    <w:p w14:paraId="67F89F37" w14:textId="77777777" w:rsidR="006C1DF8" w:rsidRPr="00EC5404"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a déjà dûment fait sa déposition et a quitté la salle d’audience sans l’autorisation du président, pour autant que le tribunal n’ait pas jugé sa présence obligatoire et n’ait pas ordonné sa détention et sa comparution forcée (article 376, paragraphe 1, première et deuxième phrases) ;</w:t>
      </w:r>
    </w:p>
    <w:p w14:paraId="4801005C" w14:textId="77777777" w:rsidR="006C1DF8" w:rsidRPr="00EC5404"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 xml:space="preserve">dûment informé de la date d’une audience ajournée ou suspendue, ne s’est pas présenté à cette audience sans justification, à moins que le tribunal n’ait jugé sa présence obligatoire et ordonné sa détention et sa comparution forcée (article 376, paragraphe 2) </w:t>
      </w:r>
    </w:p>
    <w:p w14:paraId="69779B2B" w14:textId="77777777"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fr-FR"/>
        </w:rPr>
      </w:pPr>
      <w:r>
        <w:rPr>
          <w:rFonts w:ascii="Times New Roman" w:hAnsi="Times New Roman" w:cs="Times New Roman"/>
          <w:sz w:val="20"/>
          <w:szCs w:val="20"/>
          <w:lang w:val="fr-FR"/>
        </w:rPr>
        <w:t>Si, lors d'une audience ajournée ou suspendue, un coaccusé qui s'est justifié de son absence ne s'est pas présenté, le tribunal peut poursuivre l'audience dans la mesure où elle ne concerne pas directement l'accusé absent, pour autant que cela ne porte pas atteinte à son droit à la défense (article 376, paragraphe 3).</w:t>
      </w:r>
    </w:p>
    <w:p w14:paraId="2C88A0FB" w14:textId="43DF0443" w:rsidR="006C1DF8" w:rsidRPr="00EC5404"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Un accusé qui n'a pas encore fait sa déposition devant le tribunal peut être entendu par le juge désigné ou par le tribunal dans le ressort duquel il se trouve, s'il ne s'est pas présenté en raison d'obstacles trop difficiles à surmonter</w:t>
      </w:r>
      <w:r w:rsidR="006377E4">
        <w:rPr>
          <w:rFonts w:ascii="Times New Roman" w:hAnsi="Times New Roman" w:cs="Times New Roman"/>
          <w:color w:val="000000"/>
          <w:sz w:val="20"/>
          <w:szCs w:val="20"/>
          <w:lang w:val="fr-FR"/>
        </w:rPr>
        <w:t> </w:t>
      </w:r>
      <w:r>
        <w:rPr>
          <w:rFonts w:ascii="Times New Roman" w:hAnsi="Times New Roman" w:cs="Times New Roman"/>
          <w:color w:val="000000"/>
          <w:sz w:val="20"/>
          <w:szCs w:val="20"/>
          <w:lang w:val="fr-FR"/>
        </w:rPr>
        <w:t>; le tribunal peut également juger suffisant de donner lecture de la déposition précédemment faite par l’accusé. L'accusé peut être entendu par vidéoconférence (article 377, paragraphe 4).</w:t>
      </w:r>
    </w:p>
    <w:p w14:paraId="63B5B18B" w14:textId="77777777" w:rsidR="006C1DF8" w:rsidRPr="00EC5404" w:rsidRDefault="006C1DF8"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fr-FR"/>
        </w:rPr>
      </w:pPr>
      <w:r>
        <w:rPr>
          <w:rFonts w:ascii="Times New Roman" w:hAnsi="Times New Roman" w:cs="Times New Roman"/>
          <w:b/>
          <w:bCs/>
          <w:color w:val="000000"/>
          <w:sz w:val="20"/>
          <w:szCs w:val="20"/>
          <w:lang w:val="fr-FR"/>
        </w:rPr>
        <w:t>L'accusé n'est pas tenu de prouver son innocence ni de fournir des preuves à son détriment (article 74, paragraphe 1, du CPP). L'accusé est toutefois tenu de se soumettre à :</w:t>
      </w:r>
    </w:p>
    <w:p w14:paraId="4C691423" w14:textId="77777777" w:rsidR="006C1DF8" w:rsidRPr="00EC5404"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1)  un examen physique et à des examens n'entraînant pas d'atteinte à l'intégrité physique, à la prise d'empreintes digitales, à la prise de photos ainsi qu'à la présentation de ses documents d'identité à des tiers (article 74, paragraphe 2, point 1) ;</w:t>
      </w:r>
    </w:p>
    <w:p w14:paraId="7636591B" w14:textId="77777777" w:rsidR="006C1DF8" w:rsidRPr="00EC5404"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 xml:space="preserve">2) des examens psychologiques et psychiatriques, ainsi qu'à des examens impliquant des interventions sur le corps, à l'exception des interventions chirurgicales, à condition que cela ne mette pas sa santé en danger, si la réalisation de ces examens est indispensable (notamment le prélèvement de sang, de cheveux ou de sécrétions corporelles, </w:t>
      </w:r>
      <w:r>
        <w:rPr>
          <w:rFonts w:ascii="Times New Roman" w:eastAsia="Times New Roman" w:hAnsi="Times New Roman" w:cs="Times New Roman"/>
          <w:color w:val="000000"/>
          <w:sz w:val="20"/>
          <w:szCs w:val="20"/>
          <w:lang w:val="fr-FR"/>
        </w:rPr>
        <w:lastRenderedPageBreak/>
        <w:t>par exemple de salive) ; ces examens doivent être effectués par un professionnel de santé habilité à cet effet (article 74, paragraphe 2, point 2) ;</w:t>
      </w:r>
    </w:p>
    <w:p w14:paraId="1E054B36" w14:textId="41C38923" w:rsidR="006C1DF8" w:rsidRPr="00EC5404"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3) un prélèvement par un agent de police d’un échantillon buccal, dans la mesure où cela est nécessaire et ne présente aucun risque pour la santé (article 74, paragraphe 2, point 3).</w:t>
      </w:r>
    </w:p>
    <w:p w14:paraId="4C230765" w14:textId="77777777" w:rsidR="006C1DF8" w:rsidRPr="00EC5404"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p>
    <w:p w14:paraId="76DF910B" w14:textId="77777777" w:rsidR="006C1DF8" w:rsidRPr="00EC5404"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Le non-respect de ces obligations peut entraîner la détention et la comparution forcée de l'accusé, ainsi que le recours à la force physique ou à des moyens techniques de neutralisation contre l'accusé dans la mesure nécessaire (article 74, paragraphe 3a).</w:t>
      </w:r>
    </w:p>
    <w:p w14:paraId="2DCBE6D8"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rPr>
      </w:pPr>
      <w:r>
        <w:rPr>
          <w:rFonts w:ascii="Times New Roman" w:hAnsi="Times New Roman" w:cs="Times New Roman"/>
          <w:b/>
          <w:bCs/>
          <w:color w:val="000000"/>
          <w:sz w:val="20"/>
          <w:szCs w:val="20"/>
          <w:lang w:val="fr-FR"/>
        </w:rPr>
        <w:t>L'accusé est également tenu :</w:t>
      </w:r>
    </w:p>
    <w:p w14:paraId="0263CAF5" w14:textId="77777777" w:rsidR="006C1DF8" w:rsidRPr="00EC5404"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de se présenter à toute convocation et d'informer le tribunal de tout changement de son lieu de séjour d'une durée supérieure à sept jours, y compris en raison d'une privation de liberté dans le cadre d'une autre affaire ; en cas de non-comparution, l'accusé peut être détenu et ramené de force (article 75, paragraphes 1 et 2) ;</w:t>
      </w:r>
    </w:p>
    <w:p w14:paraId="496DCE5A" w14:textId="6765D419" w:rsidR="006C1DF8" w:rsidRPr="00EC5404"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d'indiquer l'adresse à laquelle la correspondance lui sera envoyée ; il peut s’agir notamment d'une boîte postale (article 132, paragraphes 1 et 2) ; à défaut, la procédure ou l’audience se déroulera en l’absence de l’accusé</w:t>
      </w:r>
      <w:r w:rsidR="00D04F71">
        <w:rPr>
          <w:rFonts w:ascii="Times New Roman" w:eastAsia="Times New Roman" w:hAnsi="Times New Roman" w:cs="Times New Roman"/>
          <w:color w:val="000000"/>
          <w:sz w:val="20"/>
          <w:szCs w:val="20"/>
          <w:lang w:val="fr-FR"/>
        </w:rPr>
        <w:t> </w:t>
      </w:r>
      <w:r>
        <w:rPr>
          <w:rFonts w:ascii="Times New Roman" w:eastAsia="Times New Roman" w:hAnsi="Times New Roman" w:cs="Times New Roman"/>
          <w:color w:val="000000"/>
          <w:sz w:val="20"/>
          <w:szCs w:val="20"/>
          <w:lang w:val="fr-FR"/>
        </w:rPr>
        <w:t>; le fait de ne pas indiquer d’adresse peut également empêcher le dépôt d’une requête, d’un recours ou d’un appel en raison de l’expiration des délais (article 133, paragraphe 2) ;</w:t>
      </w:r>
    </w:p>
    <w:p w14:paraId="14923921" w14:textId="3038B8F7" w:rsidR="006C1DF8" w:rsidRPr="00EC5404"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fr-FR"/>
        </w:rPr>
      </w:pPr>
      <w:r>
        <w:rPr>
          <w:rFonts w:ascii="Times New Roman" w:eastAsia="Times New Roman" w:hAnsi="Times New Roman" w:cs="Times New Roman"/>
          <w:color w:val="000000"/>
          <w:sz w:val="20"/>
          <w:szCs w:val="20"/>
          <w:lang w:val="fr-FR"/>
        </w:rPr>
        <w:t>de désigner un destinataire aux fins de signification ou de notification sur le territoire national ou dans un autre État membre de l'Union européenne, lorsqu'il ne se trouve pas sur le territoire national ou dans un autre État membre de l'Union européenne ; à défaut, tout courrier envoyé à la dernière adresse connue sur le territoire national ou dans un autre État membre de l'Union européenne sera considéré comme ayant été valablement signifié, et la procédure ou l'audience se déroulera en l'absence de l'accusé ; le défaut d'indication d'adresse  peut également empêcher l’introduction d'une requête, d'un recours ou d'un appel en raison de l'expiration des délais (article 138)</w:t>
      </w:r>
      <w:r w:rsidR="00D04F71">
        <w:rPr>
          <w:rFonts w:ascii="Times New Roman" w:eastAsia="Times New Roman" w:hAnsi="Times New Roman" w:cs="Times New Roman"/>
          <w:color w:val="000000"/>
          <w:sz w:val="20"/>
          <w:szCs w:val="20"/>
          <w:lang w:val="fr-FR"/>
        </w:rPr>
        <w:t> </w:t>
      </w:r>
      <w:r>
        <w:rPr>
          <w:rFonts w:ascii="Times New Roman" w:eastAsia="Times New Roman" w:hAnsi="Times New Roman" w:cs="Times New Roman"/>
          <w:color w:val="000000"/>
          <w:sz w:val="20"/>
          <w:szCs w:val="20"/>
          <w:lang w:val="fr-FR"/>
        </w:rPr>
        <w:t>;</w:t>
      </w:r>
    </w:p>
    <w:p w14:paraId="48A656B8" w14:textId="77777777" w:rsidR="006C1DF8" w:rsidRPr="00EC5404"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lang w:val="fr-FR"/>
        </w:rPr>
      </w:pPr>
      <w:r>
        <w:rPr>
          <w:rFonts w:ascii="Times New Roman" w:hAnsi="Times New Roman" w:cs="Times New Roman"/>
          <w:color w:val="000000"/>
          <w:sz w:val="20"/>
          <w:szCs w:val="20"/>
          <w:lang w:val="fr-FR"/>
        </w:rPr>
        <w:t>d’indiquer une nouvelle adresse en cas de changement de domicile ou de lieu de séjour, y compris en raison d’une privation de liberté dans le cadre d’une autre affaire ; à défaut, tout courrier envoyé à l’ancienne adresse sera considéré comme valablement signifié, et la procédure ou l’audience se déroulera en l’absence de l’accusé ; le défaut d’indication d’une adresse peut également empêcher le dépôt d’une requête, d’un recours ou d’un appel en raison de l’expiration des délais ; il en va de même pour l’accusé qui a demandé que la signification soit effectuée à une boîte postale désignée et qui n'a pas notifié à l'autorité le changement de cette adresse ou la cessation de son utilisation  (art. 139).</w:t>
      </w:r>
    </w:p>
    <w:p w14:paraId="30599F5F" w14:textId="77777777" w:rsidR="006C1DF8" w:rsidRPr="00EC5404" w:rsidRDefault="006C1DF8"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La publication de l'ordonnance fixant les dates de l'audience a le même effet qu'une convocation des parties présentes à la procédure à l'audience ou qu'une notification de ces dates (article 349, paragraphe 8).</w:t>
      </w:r>
    </w:p>
    <w:p w14:paraId="7943C0C5" w14:textId="77777777" w:rsidR="006C1DF8" w:rsidRPr="00EC5404"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fr-FR"/>
        </w:rPr>
      </w:pPr>
    </w:p>
    <w:p w14:paraId="37474DC9"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r>
        <w:rPr>
          <w:rFonts w:ascii="Times New Roman" w:hAnsi="Times New Roman" w:cs="Times New Roman"/>
          <w:color w:val="000000"/>
          <w:sz w:val="20"/>
          <w:szCs w:val="20"/>
          <w:lang w:val="fr-FR"/>
        </w:rPr>
        <w:t>Si l'accusé est poursuivi pour une infraction pour laquelle ou en relation avec laquelle il est possible de prononcer une amende, une prestation pécuniaire, une confiscation, une mesure compensatoire, la restitution à la victime ou à toute autre personne habilitée du profit pécuniaire que l'auteur a tiré de l'infraction commise, ou de son équivalent, il peut être procédé d'office à la saisie conservatoire des biens de l'accusé ou d'autres entités indiquées par la loi, s'il existe une crainte fondée que, sans une telle mesure, l'exécution de la décision soit impossible ou considérablement entravée. Pour les mêmes raisons, il est également possible de procéder d'office à une saisie conservatoire sur les biens de l'accusé afin de garantir l'exécution de la décision relative aux frais de justice (article 291, paragraphes 1 à 3).</w:t>
      </w:r>
    </w:p>
    <w:p w14:paraId="457FFA8D"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p>
    <w:p w14:paraId="59BBC797"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fr-FR"/>
        </w:rPr>
      </w:pPr>
    </w:p>
    <w:p w14:paraId="5B27A055"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fr-FR"/>
        </w:rPr>
      </w:pPr>
    </w:p>
    <w:p w14:paraId="1A3EB43F"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fr-FR"/>
        </w:rPr>
      </w:pPr>
    </w:p>
    <w:p w14:paraId="7295A6C8" w14:textId="77777777" w:rsidR="006C1DF8" w:rsidRPr="00EC5404"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fr-FR"/>
        </w:rPr>
      </w:pPr>
    </w:p>
    <w:p w14:paraId="722C34F3" w14:textId="77777777" w:rsidR="006C1DF8" w:rsidRPr="00AB4615"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rPr>
      </w:pPr>
      <w:r>
        <w:rPr>
          <w:rFonts w:ascii="Times New Roman" w:hAnsi="Times New Roman" w:cs="Times New Roman"/>
          <w:sz w:val="16"/>
          <w:szCs w:val="16"/>
          <w:lang w:val="fr-FR"/>
        </w:rPr>
        <w:t>sélectionnez la phrase appropriée ;</w:t>
      </w:r>
    </w:p>
    <w:p w14:paraId="24F83681" w14:textId="77777777" w:rsidR="006C1DF8" w:rsidRPr="00EC5404"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fr-FR"/>
        </w:rPr>
      </w:pPr>
      <w:r>
        <w:rPr>
          <w:rFonts w:ascii="Times New Roman" w:eastAsia="Times New Roman" w:hAnsi="Times New Roman" w:cs="Times New Roman"/>
          <w:sz w:val="16"/>
          <w:szCs w:val="16"/>
          <w:lang w:val="fr-FR"/>
        </w:rPr>
        <w:t>Sauf indication contraire, les références entre parenthèses renvoient aux articles correspondants de la loi du 6 juin 1997 – Code de procédure pénale (Journal officiel de 2018, n° 1987, telle que modifiée).</w:t>
      </w:r>
    </w:p>
    <w:p w14:paraId="614FBFD0" w14:textId="77777777" w:rsidR="006C1DF8" w:rsidRPr="00EC5404"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fr-FR"/>
        </w:rPr>
      </w:pPr>
    </w:p>
    <w:p w14:paraId="4B7E7D4E" w14:textId="77777777" w:rsidR="006C1DF8" w:rsidRPr="00EC5404"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fr-FR"/>
        </w:rPr>
      </w:pPr>
    </w:p>
    <w:p w14:paraId="195DF4DC" w14:textId="4E9A0502" w:rsidR="00B376B7" w:rsidRPr="00541687"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rPr>
      </w:pPr>
      <w:r>
        <w:rPr>
          <w:rFonts w:ascii="Times New Roman" w:hAnsi="Times New Roman" w:cs="Times New Roman"/>
          <w:color w:val="000000"/>
          <w:lang w:val="fr-FR"/>
        </w:rPr>
        <w:fldChar w:fldCharType="begin"/>
      </w:r>
      <w:r>
        <w:rPr>
          <w:rFonts w:ascii="Times New Roman" w:hAnsi="Times New Roman" w:cs="Times New Roman"/>
          <w:color w:val="000000"/>
          <w:lang w:val="fr-FR"/>
        </w:rPr>
        <w:instrText xml:space="preserve"> {KONIEC} </w:instrText>
      </w:r>
      <w:r>
        <w:rPr>
          <w:rFonts w:ascii="Times New Roman" w:hAnsi="Times New Roman" w:cs="Times New Roman"/>
          <w:color w:val="000000"/>
          <w:lang w:val="fr-FR"/>
        </w:rPr>
        <w:fldChar w:fldCharType="separate"/>
      </w:r>
      <w:r>
        <w:rPr>
          <w:rFonts w:ascii="Times New Roman" w:hAnsi="Times New Roman" w:cs="Times New Roman"/>
          <w:color w:val="000000"/>
          <w:lang w:val="fr-FR"/>
        </w:rPr>
        <w:t xml:space="preserve"> </w:t>
      </w:r>
      <w:r>
        <w:rPr>
          <w:rFonts w:ascii="Times New Roman" w:hAnsi="Times New Roman" w:cs="Times New Roman"/>
          <w:color w:val="000000"/>
          <w:lang w:val="fr-FR"/>
        </w:rPr>
        <w:fldChar w:fldCharType="end"/>
      </w:r>
    </w:p>
    <w:sectPr w:rsidR="00B376B7" w:rsidRPr="005416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30BC" w14:textId="77777777" w:rsidR="00EC5404" w:rsidRDefault="00EC5404" w:rsidP="00EC5404">
      <w:pPr>
        <w:spacing w:after="0" w:line="240" w:lineRule="auto"/>
      </w:pPr>
      <w:r>
        <w:separator/>
      </w:r>
    </w:p>
  </w:endnote>
  <w:endnote w:type="continuationSeparator" w:id="0">
    <w:p w14:paraId="664EA24D" w14:textId="77777777" w:rsidR="00EC5404" w:rsidRDefault="00EC5404" w:rsidP="00EC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B91B" w14:textId="77777777" w:rsidR="00EC5404" w:rsidRDefault="00EC5404" w:rsidP="00EC5404">
      <w:pPr>
        <w:spacing w:after="0" w:line="240" w:lineRule="auto"/>
      </w:pPr>
      <w:r>
        <w:separator/>
      </w:r>
    </w:p>
  </w:footnote>
  <w:footnote w:type="continuationSeparator" w:id="0">
    <w:p w14:paraId="780DE1A6" w14:textId="77777777" w:rsidR="00EC5404" w:rsidRDefault="00EC5404" w:rsidP="00EC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1731538393">
    <w:abstractNumId w:val="0"/>
  </w:num>
  <w:num w:numId="2" w16cid:durableId="2013407578">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1189680728">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844898380">
    <w:abstractNumId w:val="1"/>
  </w:num>
  <w:num w:numId="5" w16cid:durableId="1552040043">
    <w:abstractNumId w:val="2"/>
  </w:num>
  <w:num w:numId="6" w16cid:durableId="79571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541687"/>
    <w:rsid w:val="00584D6E"/>
    <w:rsid w:val="006377E4"/>
    <w:rsid w:val="006C1DF8"/>
    <w:rsid w:val="00842077"/>
    <w:rsid w:val="008616E0"/>
    <w:rsid w:val="00AB4615"/>
    <w:rsid w:val="00B129EE"/>
    <w:rsid w:val="00B376B7"/>
    <w:rsid w:val="00CE4A7A"/>
    <w:rsid w:val="00D04F71"/>
    <w:rsid w:val="00EB22CD"/>
    <w:rsid w:val="00EC5404"/>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EC5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404"/>
  </w:style>
  <w:style w:type="paragraph" w:styleId="Stopka">
    <w:name w:val="footer"/>
    <w:basedOn w:val="Normalny"/>
    <w:link w:val="StopkaZnak"/>
    <w:uiPriority w:val="99"/>
    <w:unhideWhenUsed/>
    <w:rsid w:val="00EC54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2643</Words>
  <Characters>13458</Characters>
  <Application>Microsoft Office Word</Application>
  <DocSecurity>0</DocSecurity>
  <Lines>172</Lines>
  <Paragraphs>35</Paragraphs>
  <ScaleCrop>false</ScaleCrop>
  <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2026-03-19T13:40:00Z</dcterms:created>
  <dcterms:modified xsi:type="dcterms:W3CDTF">2026-03-19T13:41:00Z</dcterms:modified>
</cp:coreProperties>
</file>